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2</w:t>
      </w:r>
      <w:r>
        <w:rPr>
          <w:rFonts w:ascii="华文中宋" w:hAnsi="华文中宋" w:eastAsia="华文中宋"/>
          <w:b/>
          <w:bCs/>
          <w:sz w:val="44"/>
          <w:szCs w:val="44"/>
        </w:rPr>
        <w:t>024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年第三季度提案调研重点提示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提案是政协</w:t>
      </w:r>
      <w:r>
        <w:rPr>
          <w:rFonts w:hint="eastAsia" w:ascii="仿宋" w:hAnsi="仿宋" w:eastAsia="仿宋"/>
          <w:sz w:val="32"/>
          <w:szCs w:val="32"/>
          <w:lang w:eastAsia="zh-CN"/>
        </w:rPr>
        <w:t>委员</w:t>
      </w:r>
      <w:r>
        <w:rPr>
          <w:rFonts w:hint="eastAsia" w:ascii="仿宋" w:hAnsi="仿宋" w:eastAsia="仿宋"/>
          <w:sz w:val="32"/>
          <w:szCs w:val="32"/>
        </w:rPr>
        <w:t>履职的重要方式，必须</w:t>
      </w:r>
      <w:r>
        <w:rPr>
          <w:rFonts w:hint="eastAsia" w:ascii="仿宋" w:hAnsi="仿宋" w:eastAsia="仿宋"/>
          <w:sz w:val="32"/>
          <w:szCs w:val="32"/>
          <w:lang w:eastAsia="zh-CN"/>
        </w:rPr>
        <w:t>牢固树立质量意识和精品意识，</w:t>
      </w:r>
      <w:r>
        <w:rPr>
          <w:rFonts w:hint="eastAsia" w:ascii="仿宋" w:hAnsi="仿宋" w:eastAsia="仿宋"/>
          <w:sz w:val="32"/>
          <w:szCs w:val="32"/>
        </w:rPr>
        <w:t>坚持不调研不提案，深入一线开展调研，通过调研，切实做到</w:t>
      </w:r>
      <w:r>
        <w:rPr>
          <w:rFonts w:hint="eastAsia" w:ascii="仿宋" w:hAnsi="仿宋" w:eastAsia="仿宋"/>
          <w:sz w:val="32"/>
          <w:szCs w:val="32"/>
          <w:lang w:eastAsia="zh-CN"/>
        </w:rPr>
        <w:t>言之有据、言之有理、言之有物</w:t>
      </w:r>
      <w:r>
        <w:rPr>
          <w:rFonts w:hint="eastAsia" w:ascii="仿宋" w:hAnsi="仿宋" w:eastAsia="仿宋"/>
          <w:sz w:val="32"/>
          <w:szCs w:val="32"/>
        </w:rPr>
        <w:t>。特别要把握住两点：一是</w:t>
      </w:r>
      <w:r>
        <w:rPr>
          <w:rFonts w:hint="eastAsia" w:ascii="仿宋" w:hAnsi="仿宋" w:eastAsia="仿宋"/>
          <w:sz w:val="32"/>
          <w:szCs w:val="32"/>
          <w:lang w:eastAsia="zh-CN"/>
        </w:rPr>
        <w:t>反映情况要准确。提案反映情况的准确性是提案质量的重要标志，反映的情况必须核准，做到全面、真实。二是对策建议要可行。坚持从高站位处着眼，从最紧要处着手，进一步提高对策建议的针对性和可操作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  <w:highlight w:val="none"/>
        </w:rPr>
        <w:t>季度提案工作要紧紧围绕贯彻落实习近平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总书记</w:t>
      </w:r>
      <w:r>
        <w:rPr>
          <w:rFonts w:hint="eastAsia" w:ascii="仿宋" w:hAnsi="仿宋" w:eastAsia="仿宋"/>
          <w:sz w:val="32"/>
          <w:szCs w:val="32"/>
          <w:highlight w:val="none"/>
        </w:rPr>
        <w:t>考察上海重要讲话精神，围绕贯彻落实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中共二十届三中全会精神</w:t>
      </w:r>
      <w:r>
        <w:rPr>
          <w:rFonts w:hint="eastAsia" w:ascii="仿宋" w:hAnsi="仿宋" w:eastAsia="仿宋"/>
          <w:sz w:val="32"/>
          <w:szCs w:val="32"/>
          <w:highlight w:val="none"/>
        </w:rPr>
        <w:t>和市委有关重要工作部署，</w:t>
      </w:r>
      <w:r>
        <w:rPr>
          <w:rFonts w:hint="eastAsia" w:ascii="仿宋" w:hAnsi="仿宋" w:eastAsia="仿宋"/>
          <w:sz w:val="32"/>
          <w:szCs w:val="32"/>
        </w:rPr>
        <w:t>坚持问题导向、目标导向，大兴调查研究，</w:t>
      </w:r>
      <w:r>
        <w:rPr>
          <w:rFonts w:hint="eastAsia" w:ascii="仿宋" w:hAnsi="仿宋" w:eastAsia="仿宋"/>
          <w:sz w:val="32"/>
          <w:szCs w:val="32"/>
          <w:highlight w:val="none"/>
        </w:rPr>
        <w:t>聚焦培育经济发展新动能、推进高水平对外开放、持续增进民生福祉、推动美丽上海建设等方面的痛点难点，提出针对性、建设性意见建议。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第三季度</w:t>
      </w:r>
      <w:r>
        <w:rPr>
          <w:rFonts w:hint="eastAsia" w:ascii="仿宋" w:hAnsi="仿宋" w:eastAsia="仿宋"/>
          <w:sz w:val="32"/>
          <w:szCs w:val="32"/>
        </w:rPr>
        <w:t>提案调研重点提示</w:t>
      </w:r>
      <w:r>
        <w:rPr>
          <w:rFonts w:hint="eastAsia" w:ascii="仿宋" w:hAnsi="仿宋" w:eastAsia="仿宋"/>
          <w:sz w:val="32"/>
          <w:szCs w:val="32"/>
          <w:lang w:eastAsia="zh-CN"/>
        </w:rPr>
        <w:t>如下：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一、培育壮大经济发展新动能，打造良好产业生态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坚持远近结合、软硬结合、内外兼顾，结合上海资源禀赋、产业基础优势，增强消费基础作用、投资关键作用和外贸支撑作用，为巩固和增强经济回升向好态势，持续推动经济实现质的有效提升和量的合理增长积极建言献策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1.完善提升重点企业“服务包”制度；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2.加强ESG金融产品和服务创新；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3.巩固货物贸易优势，推动服务贸易、数字贸易发展；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加快</w:t>
      </w:r>
      <w:r>
        <w:rPr>
          <w:rFonts w:ascii="仿宋" w:hAnsi="仿宋" w:eastAsia="仿宋"/>
          <w:sz w:val="32"/>
          <w:szCs w:val="32"/>
        </w:rPr>
        <w:t>制造业高端化、智能化、绿色化发展；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5.强化对经济形势跟踪监测预警；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6.推动消费品以旧换新，发展“换新+回收”“互联网+循环利用”等新模式；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  <w:lang w:eastAsia="zh-CN"/>
        </w:rPr>
        <w:t>支持外资企业加快设备更新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二、推进高水平对外开放，坚持“引进来”“走出去”并重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快推进上海高水平对外开放实现新突破，必须一方面提高“引进来”的吸引力，一方面增强“走出去”的竞争力。在拼经济、争发展的新赛道上，千方百计引项目、引技术、引产能、引资本、引人才，让市场走出去、产品走出去、服务走出去，推出更多实质性举措，力争取得更多首创性、引领性制度创新成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1.加强国际人才培养储备，扩大深化国际间互利合作；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加快打造公共服务平台</w:t>
      </w:r>
      <w:r>
        <w:rPr>
          <w:rFonts w:hint="eastAsia" w:ascii="仿宋" w:hAnsi="仿宋" w:eastAsia="仿宋"/>
          <w:sz w:val="32"/>
          <w:szCs w:val="32"/>
        </w:rPr>
        <w:t>和专业服务机构；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3.稳步扩大规则、规制、管理、标准等制度型开放；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4.进一步提升跨境通、航运通、法务通等服务功能；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5.加快完善长三角一体化发展体制机制，合力打造区域发展共同体；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6.健全企业风险管控体系，提高企业抗御能力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三、关注群众急难愁盼问题，持续增进民生福祉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城市人民建，人民城市为人民。要始终坚持以居民需求为出发点，以居民满意度为落脚点，深入践行人民城市理念，不断提高城市治理现代化水平，持续在解决突出民生难题、创造高品质生活上下更大力气、花更大功夫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1.发展科技养老新服务新模式，推进养老科技创新发展；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2.完善城市轨道交通网络，最大限度便民利民；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3.推进公共空间适儿化改造；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4.优化援企稳岗、创业扶持、技能培训、权益保障，推动高质量充分就业；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5.强化短租房安全管理工作，探索短租房长效治理机制；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6.提升“社区云”平台功能，聚焦社区智能服务场景开发；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7.关注居民区老旧电梯更新情况，完善加装电梯长效管理机制。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四、提高生态环境保护水平，推动美丽上海建设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牢固树立和践行绿水青山就是金山银山的理念，持续加大环保投入，协同推进降碳、减污、扩绿、增长，完善长效机制，形成工作闭环，让城市绿色发展的底色更亮。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1.增加绿电供给，加快</w:t>
      </w:r>
      <w:r>
        <w:rPr>
          <w:rFonts w:hint="eastAsia" w:ascii="仿宋" w:hAnsi="仿宋" w:eastAsia="仿宋"/>
          <w:sz w:val="32"/>
          <w:szCs w:val="32"/>
        </w:rPr>
        <w:t>构建</w:t>
      </w:r>
      <w:r>
        <w:rPr>
          <w:rFonts w:ascii="仿宋" w:hAnsi="仿宋" w:eastAsia="仿宋"/>
          <w:sz w:val="32"/>
          <w:szCs w:val="32"/>
        </w:rPr>
        <w:t>绿色低碳能源供应链体系；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2.支持重点行业探索碳排放核算、碳足迹认证评价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3.加强雨污混接普查和整治，推进城市管网建设和提升改造；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4.做好噪音污染防治，建立污染信息收集、线索移交、高效处置、督查问责等机制；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5.完善“一江一河”两岸空间品质提升工程；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6.加快环城生态公园带建设；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  <w:lang w:eastAsia="zh-CN"/>
        </w:rPr>
        <w:t>注意季节性防台防汛，推进城市安全生产，确保城市运行安全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1227939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4"/>
          <w:jc w:val="center"/>
          <w:rPr>
            <w:rFonts w:asciiTheme="minorEastAsia" w:hAnsiTheme="minorEastAsia"/>
          </w:rPr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PAGE   \* MERGEFORMAT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2</w:t>
        </w:r>
        <w:r>
          <w:rPr>
            <w:rFonts w:asciiTheme="minorEastAsia" w:hAnsiTheme="minorEastAsia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yNjU1ODg0NTMzYmU0Yjk0MjBiMWRjNzFhNzcyZmQifQ=="/>
  </w:docVars>
  <w:rsids>
    <w:rsidRoot w:val="00AF0D59"/>
    <w:rsid w:val="00026C95"/>
    <w:rsid w:val="000722DF"/>
    <w:rsid w:val="0008229E"/>
    <w:rsid w:val="000E4150"/>
    <w:rsid w:val="001666C3"/>
    <w:rsid w:val="0024175F"/>
    <w:rsid w:val="00274CA8"/>
    <w:rsid w:val="003A1A92"/>
    <w:rsid w:val="003A661B"/>
    <w:rsid w:val="0053422D"/>
    <w:rsid w:val="00573962"/>
    <w:rsid w:val="00655C6B"/>
    <w:rsid w:val="006935BB"/>
    <w:rsid w:val="006A1183"/>
    <w:rsid w:val="006F1858"/>
    <w:rsid w:val="00791053"/>
    <w:rsid w:val="00832997"/>
    <w:rsid w:val="00851F8D"/>
    <w:rsid w:val="00897BF1"/>
    <w:rsid w:val="008B3E8F"/>
    <w:rsid w:val="0093669B"/>
    <w:rsid w:val="00A530D6"/>
    <w:rsid w:val="00AA657E"/>
    <w:rsid w:val="00AD6291"/>
    <w:rsid w:val="00AF0D59"/>
    <w:rsid w:val="00B47389"/>
    <w:rsid w:val="00BC28CB"/>
    <w:rsid w:val="00BD56B4"/>
    <w:rsid w:val="00CE70CE"/>
    <w:rsid w:val="00CF2983"/>
    <w:rsid w:val="00D11AE8"/>
    <w:rsid w:val="00D64B9B"/>
    <w:rsid w:val="00D72BFF"/>
    <w:rsid w:val="00DC1F93"/>
    <w:rsid w:val="00E54074"/>
    <w:rsid w:val="00E55CB2"/>
    <w:rsid w:val="00E66AB0"/>
    <w:rsid w:val="00E82ABE"/>
    <w:rsid w:val="00EB5CE0"/>
    <w:rsid w:val="00EC39AF"/>
    <w:rsid w:val="00ED213B"/>
    <w:rsid w:val="00F03262"/>
    <w:rsid w:val="00F0760A"/>
    <w:rsid w:val="00F97B8D"/>
    <w:rsid w:val="148960F6"/>
    <w:rsid w:val="173327F2"/>
    <w:rsid w:val="57FD944F"/>
    <w:rsid w:val="6FC92E22"/>
    <w:rsid w:val="75FFA882"/>
    <w:rsid w:val="7C3047D5"/>
    <w:rsid w:val="BFFD0FE3"/>
    <w:rsid w:val="DFF7D5AE"/>
    <w:rsid w:val="FE6D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3"/>
    <w:qFormat/>
    <w:uiPriority w:val="99"/>
    <w:rPr>
      <w:rFonts w:ascii="等线" w:hAnsi="等线" w:eastAsia="等线" w:cs="Times New Roman"/>
      <w:sz w:val="21"/>
      <w:szCs w:val="22"/>
      <w14:ligatures w14:val="none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等线" w:hAnsi="等线" w:eastAsia="等线" w:cs="Times New Roman"/>
      <w:b/>
      <w:bCs/>
      <w:sz w:val="21"/>
      <w:szCs w:val="22"/>
      <w14:ligatures w14:val="none"/>
    </w:rPr>
  </w:style>
  <w:style w:type="character" w:customStyle="1" w:styleId="16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1247</Words>
  <Characters>1279</Characters>
  <Lines>9</Lines>
  <Paragraphs>2</Paragraphs>
  <TotalTime>3</TotalTime>
  <ScaleCrop>false</ScaleCrop>
  <LinksUpToDate>false</LinksUpToDate>
  <CharactersWithSpaces>1279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2024-06-15T17:26:00Z</dcterms:created>
  <dc:creator>Melody Tian</dc:creator>
  <cp:lastModifiedBy>user</cp:lastModifiedBy>
  <dcterms:modified xsi:type="dcterms:W3CDTF">2024-07-02T14:56:08Z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C72CA15ED7F140F0A4A5CA806DCFF2A9_12</vt:lpwstr>
  </property>
</Properties>
</file>